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DAE" w:rsidRPr="000D5720" w:rsidRDefault="00652DAE" w:rsidP="00652DAE">
      <w:pPr>
        <w:spacing w:before="120" w:after="120"/>
        <w:ind w:left="5670"/>
        <w:rPr>
          <w:sz w:val="26"/>
          <w:szCs w:val="26"/>
        </w:rPr>
      </w:pPr>
      <w:bookmarkStart w:id="0" w:name="_GoBack"/>
      <w:bookmarkEnd w:id="0"/>
    </w:p>
    <w:p w:rsidR="00652DAE" w:rsidRPr="000D5720" w:rsidRDefault="00652DAE" w:rsidP="00652DAE">
      <w:pPr>
        <w:spacing w:before="120" w:after="120"/>
        <w:ind w:left="5670"/>
        <w:rPr>
          <w:sz w:val="26"/>
          <w:szCs w:val="26"/>
        </w:rPr>
      </w:pPr>
    </w:p>
    <w:p w:rsidR="00652DAE" w:rsidRPr="000D5720" w:rsidRDefault="00652DAE" w:rsidP="00652DAE">
      <w:pPr>
        <w:spacing w:before="120" w:after="120"/>
        <w:ind w:left="5670"/>
        <w:rPr>
          <w:sz w:val="26"/>
          <w:szCs w:val="26"/>
        </w:rPr>
      </w:pPr>
    </w:p>
    <w:p w:rsidR="00652DAE" w:rsidRPr="000D5720" w:rsidRDefault="00652DAE" w:rsidP="00652DAE">
      <w:pPr>
        <w:spacing w:before="120" w:after="120"/>
        <w:ind w:left="5670"/>
        <w:rPr>
          <w:sz w:val="26"/>
          <w:szCs w:val="26"/>
        </w:rPr>
      </w:pPr>
    </w:p>
    <w:p w:rsidR="00652DAE" w:rsidRPr="000D5720" w:rsidRDefault="00652DAE" w:rsidP="00652DAE">
      <w:pPr>
        <w:spacing w:before="120" w:after="120"/>
        <w:ind w:left="5670"/>
        <w:rPr>
          <w:sz w:val="26"/>
          <w:szCs w:val="26"/>
        </w:rPr>
      </w:pPr>
    </w:p>
    <w:p w:rsidR="00652DAE" w:rsidRPr="000D5720" w:rsidRDefault="000D5720" w:rsidP="00652DAE">
      <w:pPr>
        <w:spacing w:before="120" w:after="120"/>
        <w:ind w:left="5670"/>
        <w:rPr>
          <w:sz w:val="26"/>
          <w:szCs w:val="26"/>
          <w:lang w:val="uk-UA"/>
        </w:rPr>
      </w:pPr>
      <w:r>
        <w:rPr>
          <w:sz w:val="26"/>
          <w:szCs w:val="26"/>
          <w:lang w:val="uk-UA"/>
        </w:rPr>
        <w:t xml:space="preserve">Члену </w:t>
      </w:r>
      <w:proofErr w:type="spellStart"/>
      <w:r w:rsidR="00652DAE" w:rsidRPr="000D5720">
        <w:rPr>
          <w:sz w:val="26"/>
          <w:szCs w:val="26"/>
        </w:rPr>
        <w:t>Національної</w:t>
      </w:r>
      <w:proofErr w:type="spellEnd"/>
      <w:r w:rsidR="00652DAE" w:rsidRPr="000D5720">
        <w:rPr>
          <w:sz w:val="26"/>
          <w:szCs w:val="26"/>
        </w:rPr>
        <w:t xml:space="preserve"> </w:t>
      </w:r>
      <w:proofErr w:type="spellStart"/>
      <w:r w:rsidR="00652DAE" w:rsidRPr="000D5720">
        <w:rPr>
          <w:sz w:val="26"/>
          <w:szCs w:val="26"/>
        </w:rPr>
        <w:t>комісії</w:t>
      </w:r>
      <w:proofErr w:type="spellEnd"/>
      <w:r w:rsidR="00652DAE" w:rsidRPr="000D5720">
        <w:rPr>
          <w:sz w:val="26"/>
          <w:szCs w:val="26"/>
        </w:rPr>
        <w:t xml:space="preserve"> з </w:t>
      </w:r>
      <w:proofErr w:type="spellStart"/>
      <w:r w:rsidR="00652DAE" w:rsidRPr="000D5720">
        <w:rPr>
          <w:sz w:val="26"/>
          <w:szCs w:val="26"/>
        </w:rPr>
        <w:t>цінних</w:t>
      </w:r>
      <w:proofErr w:type="spellEnd"/>
      <w:r w:rsidR="00652DAE" w:rsidRPr="000D5720">
        <w:rPr>
          <w:sz w:val="26"/>
          <w:szCs w:val="26"/>
        </w:rPr>
        <w:t xml:space="preserve"> </w:t>
      </w:r>
      <w:proofErr w:type="spellStart"/>
      <w:r w:rsidR="00652DAE" w:rsidRPr="000D5720">
        <w:rPr>
          <w:sz w:val="26"/>
          <w:szCs w:val="26"/>
        </w:rPr>
        <w:t>паперів</w:t>
      </w:r>
      <w:proofErr w:type="spellEnd"/>
      <w:r w:rsidR="00652DAE" w:rsidRPr="000D5720">
        <w:rPr>
          <w:sz w:val="26"/>
          <w:szCs w:val="26"/>
        </w:rPr>
        <w:t xml:space="preserve"> та фондового ринку </w:t>
      </w:r>
      <w:r>
        <w:rPr>
          <w:sz w:val="26"/>
          <w:szCs w:val="26"/>
          <w:lang w:val="uk-UA"/>
        </w:rPr>
        <w:br/>
        <w:t>ТАРАБАКІНУ Д.В.</w:t>
      </w:r>
    </w:p>
    <w:p w:rsidR="00652DAE" w:rsidRPr="000D5720" w:rsidRDefault="00652DAE" w:rsidP="00652DAE">
      <w:pPr>
        <w:spacing w:before="120" w:after="120"/>
        <w:ind w:left="5670"/>
        <w:rPr>
          <w:sz w:val="26"/>
          <w:szCs w:val="26"/>
        </w:rPr>
      </w:pPr>
    </w:p>
    <w:p w:rsidR="00652DAE" w:rsidRPr="000D5720" w:rsidRDefault="00652DAE" w:rsidP="00652DAE">
      <w:pPr>
        <w:spacing w:before="120" w:after="120"/>
        <w:rPr>
          <w:sz w:val="26"/>
          <w:szCs w:val="26"/>
        </w:rPr>
      </w:pPr>
      <w:proofErr w:type="spellStart"/>
      <w:r w:rsidRPr="000D5720">
        <w:rPr>
          <w:sz w:val="26"/>
          <w:szCs w:val="26"/>
        </w:rPr>
        <w:t>Щодо</w:t>
      </w:r>
      <w:proofErr w:type="spellEnd"/>
      <w:r w:rsidRPr="000D5720">
        <w:rPr>
          <w:sz w:val="26"/>
          <w:szCs w:val="26"/>
        </w:rPr>
        <w:t xml:space="preserve"> проекту </w:t>
      </w:r>
      <w:proofErr w:type="spellStart"/>
      <w:r w:rsidRPr="000D5720">
        <w:rPr>
          <w:sz w:val="26"/>
          <w:szCs w:val="26"/>
        </w:rPr>
        <w:t>Положення</w:t>
      </w:r>
      <w:proofErr w:type="spellEnd"/>
      <w:r w:rsidRPr="000D5720">
        <w:rPr>
          <w:sz w:val="26"/>
          <w:szCs w:val="26"/>
        </w:rPr>
        <w:t xml:space="preserve"> про </w:t>
      </w:r>
      <w:r w:rsidRPr="000D5720">
        <w:rPr>
          <w:sz w:val="26"/>
          <w:szCs w:val="26"/>
        </w:rPr>
        <w:br/>
      </w:r>
      <w:proofErr w:type="spellStart"/>
      <w:r w:rsidRPr="000D5720">
        <w:rPr>
          <w:sz w:val="26"/>
          <w:szCs w:val="26"/>
        </w:rPr>
        <w:t>встановлення</w:t>
      </w:r>
      <w:proofErr w:type="spellEnd"/>
      <w:r w:rsidRPr="000D5720">
        <w:rPr>
          <w:sz w:val="26"/>
          <w:szCs w:val="26"/>
        </w:rPr>
        <w:t xml:space="preserve"> </w:t>
      </w:r>
      <w:proofErr w:type="spellStart"/>
      <w:r w:rsidRPr="000D5720">
        <w:rPr>
          <w:sz w:val="26"/>
          <w:szCs w:val="26"/>
        </w:rPr>
        <w:t>ознак</w:t>
      </w:r>
      <w:proofErr w:type="spellEnd"/>
      <w:r w:rsidRPr="000D5720">
        <w:rPr>
          <w:sz w:val="26"/>
          <w:szCs w:val="26"/>
        </w:rPr>
        <w:t xml:space="preserve"> </w:t>
      </w:r>
      <w:proofErr w:type="spellStart"/>
      <w:r w:rsidRPr="000D5720">
        <w:rPr>
          <w:sz w:val="26"/>
          <w:szCs w:val="26"/>
        </w:rPr>
        <w:t>фіктивності</w:t>
      </w:r>
      <w:proofErr w:type="spellEnd"/>
      <w:r w:rsidRPr="000D5720">
        <w:rPr>
          <w:sz w:val="26"/>
          <w:szCs w:val="26"/>
        </w:rPr>
        <w:t xml:space="preserve"> </w:t>
      </w:r>
      <w:r w:rsidRPr="000D5720">
        <w:rPr>
          <w:sz w:val="26"/>
          <w:szCs w:val="26"/>
        </w:rPr>
        <w:br/>
      </w:r>
      <w:proofErr w:type="spellStart"/>
      <w:r w:rsidRPr="000D5720">
        <w:rPr>
          <w:sz w:val="26"/>
          <w:szCs w:val="26"/>
        </w:rPr>
        <w:t>емітентів</w:t>
      </w:r>
      <w:proofErr w:type="spellEnd"/>
      <w:r w:rsidRPr="000D5720">
        <w:rPr>
          <w:sz w:val="26"/>
          <w:szCs w:val="26"/>
        </w:rPr>
        <w:t xml:space="preserve"> </w:t>
      </w:r>
      <w:proofErr w:type="spellStart"/>
      <w:r w:rsidRPr="000D5720">
        <w:rPr>
          <w:sz w:val="26"/>
          <w:szCs w:val="26"/>
        </w:rPr>
        <w:t>цінних</w:t>
      </w:r>
      <w:proofErr w:type="spellEnd"/>
      <w:r w:rsidRPr="000D5720">
        <w:rPr>
          <w:sz w:val="26"/>
          <w:szCs w:val="26"/>
        </w:rPr>
        <w:t xml:space="preserve"> </w:t>
      </w:r>
      <w:proofErr w:type="spellStart"/>
      <w:r w:rsidRPr="000D5720">
        <w:rPr>
          <w:sz w:val="26"/>
          <w:szCs w:val="26"/>
        </w:rPr>
        <w:t>папері</w:t>
      </w:r>
      <w:proofErr w:type="gramStart"/>
      <w:r w:rsidRPr="000D5720">
        <w:rPr>
          <w:sz w:val="26"/>
          <w:szCs w:val="26"/>
        </w:rPr>
        <w:t>в</w:t>
      </w:r>
      <w:proofErr w:type="spellEnd"/>
      <w:proofErr w:type="gramEnd"/>
    </w:p>
    <w:p w:rsidR="00652DAE" w:rsidRPr="000D5720" w:rsidRDefault="00652DAE" w:rsidP="00652DAE">
      <w:pPr>
        <w:spacing w:before="120" w:after="120"/>
        <w:ind w:firstLine="709"/>
        <w:jc w:val="center"/>
        <w:rPr>
          <w:sz w:val="26"/>
          <w:szCs w:val="26"/>
        </w:rPr>
      </w:pPr>
    </w:p>
    <w:p w:rsidR="00652DAE" w:rsidRPr="000D5720" w:rsidRDefault="00652DAE" w:rsidP="00652DAE">
      <w:pPr>
        <w:spacing w:before="120" w:after="120"/>
        <w:ind w:firstLine="709"/>
        <w:jc w:val="center"/>
        <w:rPr>
          <w:sz w:val="26"/>
          <w:szCs w:val="26"/>
        </w:rPr>
      </w:pPr>
      <w:proofErr w:type="spellStart"/>
      <w:r w:rsidRPr="000D5720">
        <w:rPr>
          <w:sz w:val="26"/>
          <w:szCs w:val="26"/>
        </w:rPr>
        <w:t>Шановн</w:t>
      </w:r>
      <w:r w:rsidR="000D5720">
        <w:rPr>
          <w:sz w:val="26"/>
          <w:szCs w:val="26"/>
          <w:lang w:val="uk-UA"/>
        </w:rPr>
        <w:t>ий</w:t>
      </w:r>
      <w:proofErr w:type="spellEnd"/>
      <w:r w:rsidR="000D5720">
        <w:rPr>
          <w:sz w:val="26"/>
          <w:szCs w:val="26"/>
          <w:lang w:val="uk-UA"/>
        </w:rPr>
        <w:t xml:space="preserve"> Дмитро Валерійовичу</w:t>
      </w:r>
      <w:r w:rsidRPr="000D5720">
        <w:rPr>
          <w:sz w:val="26"/>
          <w:szCs w:val="26"/>
        </w:rPr>
        <w:t>!</w:t>
      </w:r>
    </w:p>
    <w:p w:rsidR="00652DAE" w:rsidRPr="000D5720" w:rsidRDefault="00652DAE" w:rsidP="00652DAE">
      <w:pPr>
        <w:pStyle w:val="a8"/>
        <w:spacing w:before="120" w:after="120"/>
        <w:ind w:firstLine="709"/>
        <w:jc w:val="both"/>
        <w:rPr>
          <w:sz w:val="26"/>
          <w:szCs w:val="26"/>
        </w:rPr>
      </w:pPr>
      <w:r w:rsidRPr="000D5720">
        <w:rPr>
          <w:sz w:val="26"/>
          <w:szCs w:val="26"/>
        </w:rPr>
        <w:t xml:space="preserve">Асоціація «Українські фондові торговці» (далі – Асоціація) просить врахувати позицію Асоціації в ході опрацювання та при прийнятті Національною комісією з цінних паперів та фондового ринку рішення про затвердження нової редакції Положення про встановлення ознак фіктивності емітентів цінних паперів та включення таких емітентів до списку емітентів, що мають ознаки фіктивності, проект якого оприлюднено </w:t>
      </w:r>
      <w:r w:rsidR="00322AFA" w:rsidRPr="000D5720">
        <w:rPr>
          <w:sz w:val="26"/>
          <w:szCs w:val="26"/>
        </w:rPr>
        <w:t>18</w:t>
      </w:r>
      <w:r w:rsidRPr="000D5720">
        <w:rPr>
          <w:sz w:val="26"/>
          <w:szCs w:val="26"/>
        </w:rPr>
        <w:t>.</w:t>
      </w:r>
      <w:r w:rsidR="00322AFA" w:rsidRPr="000D5720">
        <w:rPr>
          <w:sz w:val="26"/>
          <w:szCs w:val="26"/>
        </w:rPr>
        <w:t>04</w:t>
      </w:r>
      <w:r w:rsidRPr="000D5720">
        <w:rPr>
          <w:sz w:val="26"/>
          <w:szCs w:val="26"/>
        </w:rPr>
        <w:t>.201</w:t>
      </w:r>
      <w:r w:rsidR="00322AFA" w:rsidRPr="000D5720">
        <w:rPr>
          <w:sz w:val="26"/>
          <w:szCs w:val="26"/>
        </w:rPr>
        <w:t>7</w:t>
      </w:r>
      <w:r w:rsidRPr="000D5720">
        <w:rPr>
          <w:sz w:val="26"/>
          <w:szCs w:val="26"/>
        </w:rPr>
        <w:t xml:space="preserve"> за адресою </w:t>
      </w:r>
      <w:r w:rsidR="00322AFA" w:rsidRPr="000D5720">
        <w:rPr>
          <w:sz w:val="26"/>
          <w:szCs w:val="26"/>
        </w:rPr>
        <w:t>http://nssmc.gov.ua/law/20288</w:t>
      </w:r>
      <w:r w:rsidRPr="000D5720">
        <w:rPr>
          <w:sz w:val="26"/>
          <w:szCs w:val="26"/>
        </w:rPr>
        <w:t>.</w:t>
      </w:r>
    </w:p>
    <w:p w:rsidR="00652DAE" w:rsidRPr="000D5720" w:rsidRDefault="00652DAE" w:rsidP="00652DAE">
      <w:pPr>
        <w:pStyle w:val="a8"/>
        <w:spacing w:before="120" w:after="120"/>
        <w:ind w:firstLine="709"/>
        <w:jc w:val="both"/>
        <w:rPr>
          <w:sz w:val="26"/>
          <w:szCs w:val="26"/>
        </w:rPr>
      </w:pPr>
    </w:p>
    <w:p w:rsidR="00652DAE" w:rsidRPr="000D5720" w:rsidRDefault="00652DAE" w:rsidP="00652DAE">
      <w:pPr>
        <w:pStyle w:val="a8"/>
        <w:spacing w:before="120" w:after="120"/>
        <w:jc w:val="both"/>
        <w:rPr>
          <w:sz w:val="26"/>
          <w:szCs w:val="26"/>
        </w:rPr>
      </w:pPr>
      <w:r w:rsidRPr="000D5720">
        <w:rPr>
          <w:sz w:val="26"/>
          <w:szCs w:val="26"/>
        </w:rPr>
        <w:t xml:space="preserve">Додаток: Порівняльна таблиця до проекту рішення НКЦПФР «Про затвердження Положення про встановлення ознак фіктивності емітентів цінних паперів та включення таких емітентів до списку емітентів, що мають ознаки фіктивності» з пропозиціями Асоціації на </w:t>
      </w:r>
      <w:r w:rsidR="000D5720">
        <w:rPr>
          <w:sz w:val="26"/>
          <w:szCs w:val="26"/>
        </w:rPr>
        <w:t>2</w:t>
      </w:r>
      <w:r w:rsidRPr="000D5720">
        <w:rPr>
          <w:sz w:val="26"/>
          <w:szCs w:val="26"/>
        </w:rPr>
        <w:t>-</w:t>
      </w:r>
      <w:r w:rsidR="000D5720">
        <w:rPr>
          <w:sz w:val="26"/>
          <w:szCs w:val="26"/>
        </w:rPr>
        <w:t>х</w:t>
      </w:r>
      <w:r w:rsidRPr="000D5720">
        <w:rPr>
          <w:sz w:val="26"/>
          <w:szCs w:val="26"/>
        </w:rPr>
        <w:t xml:space="preserve"> арк.</w:t>
      </w:r>
    </w:p>
    <w:p w:rsidR="00652DAE" w:rsidRPr="000D5720" w:rsidRDefault="00652DAE" w:rsidP="00652DAE">
      <w:pPr>
        <w:keepNext/>
        <w:spacing w:before="120" w:after="120"/>
        <w:ind w:firstLine="709"/>
        <w:jc w:val="both"/>
        <w:rPr>
          <w:sz w:val="26"/>
          <w:szCs w:val="26"/>
          <w:lang w:val="uk-UA"/>
        </w:rPr>
      </w:pPr>
    </w:p>
    <w:p w:rsidR="00652DAE" w:rsidRPr="000D5720" w:rsidRDefault="00652DAE" w:rsidP="00652DAE">
      <w:pPr>
        <w:keepNext/>
        <w:spacing w:before="120" w:after="120"/>
        <w:ind w:firstLine="709"/>
        <w:jc w:val="both"/>
        <w:rPr>
          <w:sz w:val="26"/>
          <w:szCs w:val="26"/>
          <w:lang w:val="uk-UA"/>
        </w:rPr>
      </w:pPr>
    </w:p>
    <w:p w:rsidR="00652DAE" w:rsidRPr="000D5720" w:rsidRDefault="00652DAE" w:rsidP="00652DAE">
      <w:pPr>
        <w:spacing w:before="120" w:after="120"/>
        <w:jc w:val="both"/>
        <w:rPr>
          <w:sz w:val="26"/>
          <w:szCs w:val="26"/>
        </w:rPr>
      </w:pPr>
      <w:proofErr w:type="gramStart"/>
      <w:r w:rsidRPr="000D5720">
        <w:rPr>
          <w:sz w:val="26"/>
          <w:szCs w:val="26"/>
        </w:rPr>
        <w:t>З</w:t>
      </w:r>
      <w:proofErr w:type="gramEnd"/>
      <w:r w:rsidRPr="000D5720">
        <w:rPr>
          <w:sz w:val="26"/>
          <w:szCs w:val="26"/>
        </w:rPr>
        <w:t xml:space="preserve"> </w:t>
      </w:r>
      <w:proofErr w:type="spellStart"/>
      <w:r w:rsidRPr="000D5720">
        <w:rPr>
          <w:sz w:val="26"/>
          <w:szCs w:val="26"/>
        </w:rPr>
        <w:t>повагою</w:t>
      </w:r>
      <w:proofErr w:type="spellEnd"/>
      <w:r w:rsidRPr="000D5720">
        <w:rPr>
          <w:sz w:val="26"/>
          <w:szCs w:val="26"/>
        </w:rPr>
        <w:t xml:space="preserve"> </w:t>
      </w:r>
    </w:p>
    <w:p w:rsidR="00652DAE" w:rsidRPr="000D5720" w:rsidRDefault="00652DAE" w:rsidP="00652DAE">
      <w:pPr>
        <w:spacing w:before="120" w:after="120"/>
        <w:jc w:val="both"/>
        <w:rPr>
          <w:sz w:val="26"/>
          <w:szCs w:val="26"/>
        </w:rPr>
      </w:pPr>
      <w:r w:rsidRPr="000D5720">
        <w:rPr>
          <w:sz w:val="26"/>
          <w:szCs w:val="26"/>
        </w:rPr>
        <w:t xml:space="preserve">Президент </w:t>
      </w:r>
      <w:r w:rsidR="000D5720">
        <w:rPr>
          <w:sz w:val="26"/>
          <w:szCs w:val="26"/>
          <w:lang w:val="uk-UA"/>
        </w:rPr>
        <w:t>Асоціації</w:t>
      </w:r>
      <w:r w:rsidRPr="000D5720">
        <w:rPr>
          <w:sz w:val="26"/>
          <w:szCs w:val="26"/>
        </w:rPr>
        <w:tab/>
      </w:r>
      <w:r w:rsidRPr="000D5720">
        <w:rPr>
          <w:sz w:val="26"/>
          <w:szCs w:val="26"/>
        </w:rPr>
        <w:tab/>
      </w:r>
      <w:r w:rsidRPr="000D5720">
        <w:rPr>
          <w:sz w:val="26"/>
          <w:szCs w:val="26"/>
        </w:rPr>
        <w:tab/>
      </w:r>
      <w:r w:rsidRPr="000D5720">
        <w:rPr>
          <w:sz w:val="26"/>
          <w:szCs w:val="26"/>
        </w:rPr>
        <w:tab/>
      </w:r>
      <w:r w:rsidRPr="000D5720">
        <w:rPr>
          <w:sz w:val="26"/>
          <w:szCs w:val="26"/>
        </w:rPr>
        <w:tab/>
      </w:r>
      <w:r w:rsidRPr="000D5720">
        <w:rPr>
          <w:sz w:val="26"/>
          <w:szCs w:val="26"/>
        </w:rPr>
        <w:tab/>
      </w:r>
      <w:r w:rsidRPr="000D5720">
        <w:rPr>
          <w:sz w:val="26"/>
          <w:szCs w:val="26"/>
        </w:rPr>
        <w:tab/>
      </w:r>
      <w:r w:rsidRPr="000D5720">
        <w:rPr>
          <w:sz w:val="26"/>
          <w:szCs w:val="26"/>
        </w:rPr>
        <w:tab/>
        <w:t>Н.А. ГУРЖИЙ</w:t>
      </w:r>
    </w:p>
    <w:p w:rsidR="00652DAE" w:rsidRPr="000D5720" w:rsidRDefault="00652DAE" w:rsidP="00652DAE">
      <w:pPr>
        <w:spacing w:before="120" w:after="120"/>
        <w:jc w:val="both"/>
        <w:rPr>
          <w:sz w:val="22"/>
          <w:szCs w:val="22"/>
        </w:rPr>
      </w:pPr>
    </w:p>
    <w:p w:rsidR="00652DAE" w:rsidRPr="000D5720" w:rsidRDefault="00652DAE" w:rsidP="00652DAE">
      <w:pPr>
        <w:spacing w:before="120" w:after="120"/>
        <w:jc w:val="both"/>
        <w:rPr>
          <w:sz w:val="22"/>
          <w:szCs w:val="22"/>
        </w:rPr>
      </w:pPr>
    </w:p>
    <w:p w:rsidR="00652DAE" w:rsidRPr="000D5720" w:rsidRDefault="00652DAE" w:rsidP="00652DAE">
      <w:pPr>
        <w:spacing w:before="120" w:after="120"/>
        <w:jc w:val="both"/>
        <w:rPr>
          <w:sz w:val="22"/>
          <w:szCs w:val="22"/>
        </w:rPr>
      </w:pPr>
    </w:p>
    <w:p w:rsidR="00652DAE" w:rsidRPr="000D5720" w:rsidRDefault="00652DAE" w:rsidP="00652DAE">
      <w:pPr>
        <w:spacing w:before="120" w:after="120"/>
        <w:jc w:val="both"/>
        <w:rPr>
          <w:sz w:val="22"/>
          <w:szCs w:val="22"/>
        </w:rPr>
      </w:pPr>
    </w:p>
    <w:p w:rsidR="00652DAE" w:rsidRPr="000D5720" w:rsidRDefault="00652DAE" w:rsidP="00652DAE">
      <w:pPr>
        <w:spacing w:before="120" w:after="120"/>
        <w:jc w:val="both"/>
        <w:rPr>
          <w:sz w:val="22"/>
          <w:szCs w:val="22"/>
        </w:rPr>
      </w:pPr>
    </w:p>
    <w:p w:rsidR="00652DAE" w:rsidRPr="000D5720" w:rsidRDefault="00652DAE" w:rsidP="00652DAE">
      <w:pPr>
        <w:spacing w:before="120" w:after="120"/>
        <w:jc w:val="both"/>
        <w:rPr>
          <w:sz w:val="22"/>
          <w:szCs w:val="22"/>
        </w:rPr>
      </w:pPr>
    </w:p>
    <w:p w:rsidR="00652DAE" w:rsidRPr="000D5720" w:rsidRDefault="00652DAE" w:rsidP="00652DAE">
      <w:pPr>
        <w:spacing w:before="120" w:after="120"/>
        <w:jc w:val="both"/>
        <w:rPr>
          <w:sz w:val="22"/>
          <w:szCs w:val="22"/>
        </w:rPr>
      </w:pPr>
    </w:p>
    <w:p w:rsidR="00652DAE" w:rsidRPr="000D5720" w:rsidRDefault="00652DAE" w:rsidP="00652DAE">
      <w:pPr>
        <w:spacing w:before="120" w:after="120"/>
        <w:jc w:val="both"/>
        <w:rPr>
          <w:sz w:val="22"/>
          <w:szCs w:val="22"/>
        </w:rPr>
      </w:pPr>
    </w:p>
    <w:p w:rsidR="00652DAE" w:rsidRPr="000D5720" w:rsidRDefault="00652DAE" w:rsidP="00652DAE">
      <w:pPr>
        <w:spacing w:before="120" w:after="120"/>
        <w:jc w:val="both"/>
        <w:rPr>
          <w:sz w:val="22"/>
          <w:szCs w:val="22"/>
        </w:rPr>
      </w:pPr>
      <w:proofErr w:type="spellStart"/>
      <w:r w:rsidRPr="000D5720">
        <w:rPr>
          <w:sz w:val="22"/>
          <w:szCs w:val="22"/>
        </w:rPr>
        <w:t>вик</w:t>
      </w:r>
      <w:proofErr w:type="spellEnd"/>
      <w:r w:rsidRPr="000D5720">
        <w:rPr>
          <w:sz w:val="22"/>
          <w:szCs w:val="22"/>
        </w:rPr>
        <w:t>.: Дюговський О. 044.500.18.92.</w:t>
      </w:r>
    </w:p>
    <w:p w:rsidR="009B57B2" w:rsidRPr="000D5720" w:rsidRDefault="009B57B2" w:rsidP="00BE1438">
      <w:pPr>
        <w:ind w:left="5812"/>
        <w:jc w:val="both"/>
        <w:rPr>
          <w:sz w:val="28"/>
          <w:szCs w:val="28"/>
          <w:lang w:val="uk-UA"/>
        </w:rPr>
      </w:pPr>
    </w:p>
    <w:p w:rsidR="009B57B2" w:rsidRPr="000D5720" w:rsidRDefault="00322AFA" w:rsidP="00577DBB">
      <w:pPr>
        <w:jc w:val="center"/>
        <w:rPr>
          <w:sz w:val="28"/>
          <w:szCs w:val="28"/>
          <w:lang w:val="uk-UA"/>
        </w:rPr>
      </w:pPr>
      <w:r w:rsidRPr="00121A49">
        <w:rPr>
          <w:sz w:val="26"/>
          <w:szCs w:val="26"/>
          <w:lang w:val="uk-UA"/>
        </w:rPr>
        <w:lastRenderedPageBreak/>
        <w:t>Порівняльна таблиця до проекту рішення НКЦПФР «Про затвердження</w:t>
      </w:r>
      <w:r w:rsidRPr="000D5720">
        <w:rPr>
          <w:sz w:val="28"/>
          <w:szCs w:val="28"/>
          <w:lang w:val="uk-UA"/>
        </w:rPr>
        <w:t xml:space="preserve"> </w:t>
      </w:r>
      <w:r w:rsidR="00577DBB" w:rsidRPr="000D5720">
        <w:rPr>
          <w:sz w:val="28"/>
          <w:szCs w:val="28"/>
          <w:lang w:val="uk-UA"/>
        </w:rPr>
        <w:t>Положення</w:t>
      </w:r>
      <w:r w:rsidRPr="000D5720">
        <w:rPr>
          <w:sz w:val="28"/>
          <w:szCs w:val="28"/>
          <w:lang w:val="uk-UA"/>
        </w:rPr>
        <w:t xml:space="preserve"> </w:t>
      </w:r>
      <w:r w:rsidR="00577DBB" w:rsidRPr="000D5720">
        <w:rPr>
          <w:sz w:val="28"/>
          <w:szCs w:val="28"/>
          <w:lang w:val="uk-UA"/>
        </w:rPr>
        <w:t>про встановлення ознак фіктивності емітентів цінних паперів та включення таких емітентів до списку емітентів, що мають ознаки фіктивності</w:t>
      </w:r>
    </w:p>
    <w:p w:rsidR="00577DBB" w:rsidRPr="000D5720" w:rsidRDefault="00577DBB" w:rsidP="00577DBB">
      <w:pPr>
        <w:jc w:val="center"/>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0D5720" w:rsidRPr="000D5720" w:rsidTr="00322AFA">
        <w:tc>
          <w:tcPr>
            <w:tcW w:w="2500" w:type="pct"/>
          </w:tcPr>
          <w:p w:rsidR="00322AFA" w:rsidRPr="00557111" w:rsidRDefault="00322AFA" w:rsidP="00DC6E67">
            <w:pPr>
              <w:ind w:firstLine="227"/>
              <w:jc w:val="center"/>
            </w:pPr>
            <w:proofErr w:type="gramStart"/>
            <w:r w:rsidRPr="00557111">
              <w:t xml:space="preserve">Проект </w:t>
            </w:r>
            <w:proofErr w:type="spellStart"/>
            <w:r w:rsidRPr="00557111">
              <w:t>Положення</w:t>
            </w:r>
            <w:proofErr w:type="spellEnd"/>
            <w:r w:rsidRPr="00557111">
              <w:t xml:space="preserve"> про </w:t>
            </w:r>
            <w:proofErr w:type="spellStart"/>
            <w:r w:rsidRPr="00557111">
              <w:t>встановлення</w:t>
            </w:r>
            <w:proofErr w:type="spellEnd"/>
            <w:r w:rsidRPr="00557111">
              <w:t xml:space="preserve"> </w:t>
            </w:r>
            <w:proofErr w:type="spellStart"/>
            <w:r w:rsidRPr="00557111">
              <w:t>ознак</w:t>
            </w:r>
            <w:proofErr w:type="spellEnd"/>
            <w:r w:rsidRPr="00557111">
              <w:t xml:space="preserve"> </w:t>
            </w:r>
            <w:proofErr w:type="spellStart"/>
            <w:r w:rsidRPr="00557111">
              <w:t>фіктивності</w:t>
            </w:r>
            <w:proofErr w:type="spellEnd"/>
            <w:r w:rsidRPr="00557111">
              <w:t xml:space="preserve"> </w:t>
            </w:r>
            <w:proofErr w:type="spellStart"/>
            <w:r w:rsidRPr="00557111">
              <w:t>емітентів</w:t>
            </w:r>
            <w:proofErr w:type="spellEnd"/>
            <w:r w:rsidRPr="00557111">
              <w:t xml:space="preserve"> </w:t>
            </w:r>
            <w:proofErr w:type="spellStart"/>
            <w:r w:rsidRPr="00557111">
              <w:t>цінних</w:t>
            </w:r>
            <w:proofErr w:type="spellEnd"/>
            <w:r w:rsidRPr="00557111">
              <w:t xml:space="preserve"> </w:t>
            </w:r>
            <w:proofErr w:type="spellStart"/>
            <w:r w:rsidRPr="00557111">
              <w:t>паперів</w:t>
            </w:r>
            <w:proofErr w:type="spellEnd"/>
            <w:r w:rsidRPr="00557111">
              <w:t xml:space="preserve"> та </w:t>
            </w:r>
            <w:proofErr w:type="spellStart"/>
            <w:r w:rsidRPr="00557111">
              <w:t>включення</w:t>
            </w:r>
            <w:proofErr w:type="spellEnd"/>
            <w:r w:rsidRPr="00557111">
              <w:t xml:space="preserve"> таких </w:t>
            </w:r>
            <w:proofErr w:type="spellStart"/>
            <w:r w:rsidRPr="00557111">
              <w:t>емітентів</w:t>
            </w:r>
            <w:proofErr w:type="spellEnd"/>
            <w:r w:rsidRPr="00557111">
              <w:t xml:space="preserve"> до списку </w:t>
            </w:r>
            <w:proofErr w:type="spellStart"/>
            <w:r w:rsidRPr="00557111">
              <w:t>емітентів</w:t>
            </w:r>
            <w:proofErr w:type="spellEnd"/>
            <w:r w:rsidRPr="00557111">
              <w:t xml:space="preserve">, </w:t>
            </w:r>
            <w:proofErr w:type="spellStart"/>
            <w:r w:rsidRPr="00557111">
              <w:t>що</w:t>
            </w:r>
            <w:proofErr w:type="spellEnd"/>
            <w:r w:rsidRPr="00557111">
              <w:t xml:space="preserve"> </w:t>
            </w:r>
            <w:proofErr w:type="spellStart"/>
            <w:r w:rsidRPr="00557111">
              <w:t>мають</w:t>
            </w:r>
            <w:proofErr w:type="spellEnd"/>
            <w:r w:rsidRPr="00557111">
              <w:t xml:space="preserve"> </w:t>
            </w:r>
            <w:proofErr w:type="spellStart"/>
            <w:r w:rsidRPr="00557111">
              <w:t>ознаки</w:t>
            </w:r>
            <w:proofErr w:type="spellEnd"/>
            <w:r w:rsidRPr="00557111">
              <w:t xml:space="preserve"> </w:t>
            </w:r>
            <w:proofErr w:type="spellStart"/>
            <w:r w:rsidRPr="00557111">
              <w:t>фіктивності</w:t>
            </w:r>
            <w:proofErr w:type="spellEnd"/>
            <w:r w:rsidRPr="00557111">
              <w:t xml:space="preserve">, в </w:t>
            </w:r>
            <w:proofErr w:type="spellStart"/>
            <w:r w:rsidRPr="00557111">
              <w:t>редакції</w:t>
            </w:r>
            <w:proofErr w:type="spellEnd"/>
            <w:r w:rsidRPr="00557111">
              <w:t xml:space="preserve"> </w:t>
            </w:r>
            <w:proofErr w:type="spellStart"/>
            <w:r w:rsidRPr="00557111">
              <w:t>оприлюдненій</w:t>
            </w:r>
            <w:proofErr w:type="spellEnd"/>
            <w:r w:rsidRPr="00557111">
              <w:t xml:space="preserve"> для </w:t>
            </w:r>
            <w:proofErr w:type="spellStart"/>
            <w:r w:rsidRPr="00557111">
              <w:t>обговорення</w:t>
            </w:r>
            <w:proofErr w:type="spellEnd"/>
            <w:r w:rsidRPr="00557111">
              <w:t xml:space="preserve"> 28.04.2017 (</w:t>
            </w:r>
            <w:hyperlink r:id="rId7" w:history="1">
              <w:r w:rsidRPr="00557111">
                <w:rPr>
                  <w:rStyle w:val="a7"/>
                  <w:color w:val="auto"/>
                </w:rPr>
                <w:t>http://www.nssmc.gov.ua/law/20382</w:t>
              </w:r>
            </w:hyperlink>
            <w:r w:rsidRPr="00557111">
              <w:t xml:space="preserve"> </w:t>
            </w:r>
            <w:proofErr w:type="gramEnd"/>
          </w:p>
        </w:tc>
        <w:tc>
          <w:tcPr>
            <w:tcW w:w="2500" w:type="pct"/>
          </w:tcPr>
          <w:p w:rsidR="00322AFA" w:rsidRPr="00557111" w:rsidRDefault="00557111" w:rsidP="00DC6E67">
            <w:pPr>
              <w:ind w:firstLine="227"/>
              <w:jc w:val="center"/>
              <w:rPr>
                <w:i/>
                <w:lang w:val="uk-UA"/>
              </w:rPr>
            </w:pPr>
            <w:r>
              <w:rPr>
                <w:i/>
                <w:lang w:val="uk-UA"/>
              </w:rPr>
              <w:t>Пропозиції Асоціації «УФТ»</w:t>
            </w:r>
          </w:p>
        </w:tc>
      </w:tr>
      <w:tr w:rsidR="000D5720" w:rsidRPr="000D5720" w:rsidTr="00322AFA">
        <w:tc>
          <w:tcPr>
            <w:tcW w:w="2500" w:type="pct"/>
          </w:tcPr>
          <w:p w:rsidR="00322AFA" w:rsidRPr="000D5720" w:rsidRDefault="00322AFA" w:rsidP="00DC6E67">
            <w:pPr>
              <w:pStyle w:val="a3"/>
              <w:spacing w:before="0" w:beforeAutospacing="0" w:after="0" w:afterAutospacing="0"/>
              <w:ind w:firstLine="227"/>
              <w:jc w:val="both"/>
            </w:pPr>
            <w:r w:rsidRPr="000D5720">
              <w:t>1. Це Положення визначає:</w:t>
            </w:r>
          </w:p>
          <w:p w:rsidR="00322AFA" w:rsidRPr="000D5720" w:rsidRDefault="00322AFA" w:rsidP="00DC6E67">
            <w:pPr>
              <w:pStyle w:val="a3"/>
              <w:spacing w:before="0" w:beforeAutospacing="0" w:after="0" w:afterAutospacing="0"/>
              <w:ind w:firstLine="227"/>
              <w:jc w:val="both"/>
            </w:pPr>
            <w:r w:rsidRPr="000D5720">
              <w:t>1) ознаки фіктивності емітента цінних паперів;</w:t>
            </w:r>
          </w:p>
          <w:p w:rsidR="00322AFA" w:rsidRPr="000D5720" w:rsidRDefault="00322AFA" w:rsidP="00DC6E67">
            <w:pPr>
              <w:pStyle w:val="a3"/>
              <w:spacing w:before="0" w:beforeAutospacing="0" w:after="0" w:afterAutospacing="0"/>
              <w:ind w:firstLine="227"/>
              <w:jc w:val="both"/>
            </w:pPr>
            <w:r w:rsidRPr="000D5720">
              <w:rPr>
                <w:i/>
              </w:rPr>
              <w:t>…</w:t>
            </w:r>
          </w:p>
        </w:tc>
        <w:tc>
          <w:tcPr>
            <w:tcW w:w="2500" w:type="pct"/>
          </w:tcPr>
          <w:p w:rsidR="00322AFA" w:rsidRPr="000D5720" w:rsidRDefault="00322AFA" w:rsidP="00322AFA">
            <w:pPr>
              <w:pStyle w:val="a3"/>
              <w:spacing w:before="0" w:beforeAutospacing="0" w:after="0" w:afterAutospacing="0"/>
              <w:ind w:firstLine="227"/>
              <w:jc w:val="both"/>
            </w:pPr>
            <w:r w:rsidRPr="000D5720">
              <w:t xml:space="preserve">Пропонуємо поширювати дію такого положення виключно на емітентів цінних паперів, які здійснили публічне розміщення.. </w:t>
            </w:r>
          </w:p>
        </w:tc>
      </w:tr>
      <w:tr w:rsidR="000D5720" w:rsidRPr="000D5720" w:rsidTr="00322AFA">
        <w:tc>
          <w:tcPr>
            <w:tcW w:w="2500" w:type="pct"/>
          </w:tcPr>
          <w:p w:rsidR="00322AFA" w:rsidRPr="000D5720" w:rsidRDefault="00322AFA" w:rsidP="00DC6E67">
            <w:pPr>
              <w:pStyle w:val="a3"/>
              <w:spacing w:before="0" w:beforeAutospacing="0" w:after="0" w:afterAutospacing="0"/>
              <w:ind w:firstLine="227"/>
              <w:jc w:val="both"/>
            </w:pPr>
            <w:r w:rsidRPr="000D5720">
              <w:t>4. Ознаки фіктивності, відповідність певній сукупності яких є підставою для прийняття рішення про включення емітента (крім корпоративних інвестиційних фондів) до Списку:</w:t>
            </w:r>
          </w:p>
          <w:p w:rsidR="00322AFA" w:rsidRPr="000D5720" w:rsidRDefault="00322AFA" w:rsidP="00DC6E67">
            <w:pPr>
              <w:pStyle w:val="a3"/>
              <w:spacing w:before="0" w:beforeAutospacing="0" w:after="0" w:afterAutospacing="0"/>
              <w:ind w:firstLine="227"/>
              <w:jc w:val="both"/>
            </w:pPr>
            <w:r w:rsidRPr="000D5720">
              <w:t>…</w:t>
            </w:r>
          </w:p>
          <w:p w:rsidR="00322AFA" w:rsidRPr="000D5720" w:rsidRDefault="00322AFA" w:rsidP="00DC6E67">
            <w:pPr>
              <w:pStyle w:val="a3"/>
              <w:spacing w:before="0" w:beforeAutospacing="0" w:after="0" w:afterAutospacing="0"/>
              <w:ind w:firstLine="227"/>
              <w:jc w:val="both"/>
            </w:pPr>
            <w:r w:rsidRPr="000D5720">
              <w:t xml:space="preserve">3) </w:t>
            </w:r>
            <w:proofErr w:type="spellStart"/>
            <w:r w:rsidRPr="000D5720">
              <w:t>непроведення</w:t>
            </w:r>
            <w:proofErr w:type="spellEnd"/>
            <w:r w:rsidRPr="000D5720">
              <w:t xml:space="preserve"> акціонерним товариством загальних зборів акціонерів протягом двох років поспіль та/або </w:t>
            </w:r>
            <w:proofErr w:type="spellStart"/>
            <w:r w:rsidRPr="000D5720">
              <w:t>неутворення</w:t>
            </w:r>
            <w:proofErr w:type="spellEnd"/>
            <w:r w:rsidRPr="000D5720">
              <w:t xml:space="preserve"> органів управління акціонерного товариства, визначених законодавством, протягом року з дня реєстрації Комісією звіту про результати приватного розміщення акцій серед засновників акціонерного товариства;</w:t>
            </w:r>
          </w:p>
          <w:p w:rsidR="00322AFA" w:rsidRPr="000D5720" w:rsidRDefault="00322AFA" w:rsidP="00DC6E67">
            <w:pPr>
              <w:jc w:val="both"/>
            </w:pPr>
          </w:p>
        </w:tc>
        <w:tc>
          <w:tcPr>
            <w:tcW w:w="2500" w:type="pct"/>
          </w:tcPr>
          <w:p w:rsidR="00322AFA" w:rsidRPr="000D5720" w:rsidRDefault="00322AFA" w:rsidP="00DC6E67">
            <w:pPr>
              <w:pStyle w:val="a3"/>
              <w:spacing w:before="0" w:beforeAutospacing="0" w:after="0" w:afterAutospacing="0"/>
              <w:ind w:firstLine="227"/>
              <w:jc w:val="both"/>
            </w:pPr>
          </w:p>
          <w:p w:rsidR="00322AFA" w:rsidRPr="000D5720" w:rsidRDefault="00322AFA" w:rsidP="00DC6E67">
            <w:pPr>
              <w:pStyle w:val="a3"/>
              <w:spacing w:before="0" w:beforeAutospacing="0" w:after="0" w:afterAutospacing="0"/>
              <w:ind w:firstLine="227"/>
              <w:jc w:val="both"/>
            </w:pPr>
          </w:p>
          <w:p w:rsidR="00322AFA" w:rsidRPr="000D5720" w:rsidRDefault="00322AFA" w:rsidP="00DC6E67">
            <w:pPr>
              <w:pStyle w:val="a3"/>
              <w:spacing w:before="0" w:beforeAutospacing="0" w:after="0" w:afterAutospacing="0"/>
              <w:ind w:firstLine="227"/>
              <w:jc w:val="both"/>
            </w:pPr>
          </w:p>
          <w:p w:rsidR="00322AFA" w:rsidRPr="000D5720" w:rsidRDefault="00322AFA" w:rsidP="00DC6E67">
            <w:pPr>
              <w:pStyle w:val="a3"/>
              <w:spacing w:before="0" w:beforeAutospacing="0" w:after="0" w:afterAutospacing="0"/>
              <w:ind w:firstLine="227"/>
              <w:jc w:val="both"/>
            </w:pPr>
          </w:p>
          <w:p w:rsidR="00322AFA" w:rsidRPr="000D5720" w:rsidRDefault="00322AFA" w:rsidP="00DC6E67">
            <w:pPr>
              <w:pStyle w:val="a3"/>
              <w:spacing w:before="0" w:beforeAutospacing="0" w:after="0" w:afterAutospacing="0"/>
              <w:ind w:firstLine="227"/>
              <w:jc w:val="both"/>
            </w:pPr>
          </w:p>
          <w:p w:rsidR="00322AFA" w:rsidRPr="000D5720" w:rsidRDefault="00322AFA" w:rsidP="00DC6E67">
            <w:pPr>
              <w:pStyle w:val="a3"/>
              <w:spacing w:before="0" w:beforeAutospacing="0" w:after="0" w:afterAutospacing="0"/>
              <w:ind w:firstLine="227"/>
              <w:jc w:val="both"/>
            </w:pPr>
          </w:p>
          <w:p w:rsidR="00322AFA" w:rsidRPr="000D5720" w:rsidRDefault="00322AFA" w:rsidP="00322AFA">
            <w:pPr>
              <w:pStyle w:val="a3"/>
              <w:spacing w:before="0" w:beforeAutospacing="0" w:after="0" w:afterAutospacing="0"/>
              <w:ind w:firstLine="227"/>
              <w:jc w:val="both"/>
            </w:pPr>
            <w:r w:rsidRPr="000D5720">
              <w:t xml:space="preserve">Проведення зборів акціонерів подеколи знаходиться поза впливом та волею самого емітента, як і формування всіх органів управління. </w:t>
            </w:r>
          </w:p>
          <w:p w:rsidR="00322AFA" w:rsidRPr="000D5720" w:rsidRDefault="00322AFA" w:rsidP="00713AF2">
            <w:pPr>
              <w:pStyle w:val="a3"/>
              <w:spacing w:before="0" w:beforeAutospacing="0" w:after="0" w:afterAutospacing="0"/>
              <w:ind w:firstLine="227"/>
              <w:jc w:val="both"/>
            </w:pPr>
            <w:r w:rsidRPr="000D5720">
              <w:t xml:space="preserve">Пропонуємо </w:t>
            </w:r>
            <w:r w:rsidR="00713AF2" w:rsidRPr="000D5720">
              <w:t>зробити таку ознаку факультативною, а не обов’язковою. Емітент повинен мати можливість надати обґрунтовані пояснення, які вважатимуться поважними і така обставина не братиметься до уваги.</w:t>
            </w:r>
          </w:p>
        </w:tc>
      </w:tr>
      <w:tr w:rsidR="000D5720" w:rsidRPr="000D5720" w:rsidTr="00322AFA">
        <w:tc>
          <w:tcPr>
            <w:tcW w:w="2500" w:type="pct"/>
          </w:tcPr>
          <w:p w:rsidR="00322AFA" w:rsidRPr="000D5720" w:rsidRDefault="00322AFA" w:rsidP="00DC6E67">
            <w:pPr>
              <w:pStyle w:val="a3"/>
              <w:spacing w:before="0" w:beforeAutospacing="0" w:after="0" w:afterAutospacing="0"/>
              <w:ind w:firstLine="227"/>
              <w:jc w:val="both"/>
            </w:pPr>
            <w:r w:rsidRPr="000D5720">
              <w:t xml:space="preserve">4) реєстрація місцезнаходження емітента у приміщенні житлового фонду; </w:t>
            </w:r>
          </w:p>
          <w:p w:rsidR="00322AFA" w:rsidRPr="000D5720" w:rsidRDefault="00322AFA" w:rsidP="00DC6E67">
            <w:pPr>
              <w:pStyle w:val="a3"/>
              <w:spacing w:before="0" w:beforeAutospacing="0" w:after="0" w:afterAutospacing="0"/>
              <w:ind w:firstLine="227"/>
              <w:jc w:val="both"/>
            </w:pPr>
          </w:p>
        </w:tc>
        <w:tc>
          <w:tcPr>
            <w:tcW w:w="2500" w:type="pct"/>
          </w:tcPr>
          <w:p w:rsidR="00713AF2" w:rsidRPr="000D5720" w:rsidRDefault="00557111" w:rsidP="00557111">
            <w:pPr>
              <w:pStyle w:val="a3"/>
              <w:spacing w:before="0" w:beforeAutospacing="0" w:after="0" w:afterAutospacing="0"/>
              <w:ind w:firstLine="227"/>
              <w:jc w:val="both"/>
            </w:pPr>
            <w:r>
              <w:t xml:space="preserve">Особливості використання власності встановлюється </w:t>
            </w:r>
            <w:r w:rsidR="00713AF2" w:rsidRPr="000D5720">
              <w:t xml:space="preserve">законами, а не підзаконними </w:t>
            </w:r>
            <w:r>
              <w:t>актами</w:t>
            </w:r>
            <w:r w:rsidR="00713AF2" w:rsidRPr="000D5720">
              <w:t>.</w:t>
            </w:r>
            <w:r>
              <w:t xml:space="preserve"> </w:t>
            </w:r>
            <w:r w:rsidR="00713AF2" w:rsidRPr="000D5720">
              <w:t xml:space="preserve">Пропонуємо прибрати </w:t>
            </w:r>
            <w:r>
              <w:t>підп.. 4 п. 4</w:t>
            </w:r>
            <w:r w:rsidR="00713AF2" w:rsidRPr="000D5720">
              <w:t>.</w:t>
            </w:r>
          </w:p>
        </w:tc>
      </w:tr>
      <w:tr w:rsidR="000D5720" w:rsidRPr="000D5720" w:rsidTr="00322AFA">
        <w:tc>
          <w:tcPr>
            <w:tcW w:w="2500" w:type="pct"/>
          </w:tcPr>
          <w:p w:rsidR="00322AFA" w:rsidRPr="000D5720" w:rsidRDefault="00322AFA" w:rsidP="00DC6E67">
            <w:pPr>
              <w:pStyle w:val="a3"/>
              <w:spacing w:before="0" w:beforeAutospacing="0" w:after="0" w:afterAutospacing="0"/>
              <w:ind w:firstLine="227"/>
              <w:jc w:val="both"/>
            </w:pPr>
            <w:r w:rsidRPr="000D5720">
              <w:t>8) основні засоби, та/або незавершені капітальні інвестиції, та/або інвестиційна нерухомість, та/або довгострокові біологічні активи, та/або запаси, та/або поточні біологічні активи, та/або права користування природними ресурсами, та/або відстрочені податкові активи, та/або гроші та їх еквіваленти, та/або інші оборотні активи складають менш ніж 25 відсотків активів емітента станом на кінець звітного періоду;</w:t>
            </w:r>
          </w:p>
          <w:p w:rsidR="00322AFA" w:rsidRPr="000D5720" w:rsidRDefault="00322AFA" w:rsidP="00DC6E67">
            <w:pPr>
              <w:pStyle w:val="a3"/>
              <w:spacing w:before="0" w:beforeAutospacing="0" w:after="0" w:afterAutospacing="0"/>
              <w:ind w:firstLine="227"/>
              <w:jc w:val="both"/>
            </w:pPr>
          </w:p>
        </w:tc>
        <w:tc>
          <w:tcPr>
            <w:tcW w:w="2500" w:type="pct"/>
          </w:tcPr>
          <w:p w:rsidR="0011371A" w:rsidRPr="000D5720" w:rsidRDefault="00713AF2" w:rsidP="00713AF2">
            <w:pPr>
              <w:ind w:firstLine="284"/>
              <w:jc w:val="both"/>
              <w:rPr>
                <w:lang w:val="uk-UA"/>
              </w:rPr>
            </w:pPr>
            <w:proofErr w:type="spellStart"/>
            <w:r w:rsidRPr="000D5720">
              <w:t>Вважаємо</w:t>
            </w:r>
            <w:proofErr w:type="spellEnd"/>
            <w:r w:rsidRPr="000D5720">
              <w:t xml:space="preserve">, </w:t>
            </w:r>
            <w:proofErr w:type="spellStart"/>
            <w:r w:rsidRPr="000D5720">
              <w:t>що</w:t>
            </w:r>
            <w:proofErr w:type="spellEnd"/>
            <w:r w:rsidRPr="000D5720">
              <w:t xml:space="preserve"> </w:t>
            </w:r>
            <w:proofErr w:type="spellStart"/>
            <w:r w:rsidRPr="000D5720">
              <w:t>вказаний</w:t>
            </w:r>
            <w:proofErr w:type="spellEnd"/>
            <w:r w:rsidRPr="000D5720">
              <w:t xml:space="preserve"> </w:t>
            </w:r>
            <w:proofErr w:type="spellStart"/>
            <w:r w:rsidRPr="000D5720">
              <w:t>перелік</w:t>
            </w:r>
            <w:proofErr w:type="spellEnd"/>
            <w:r w:rsidRPr="000D5720">
              <w:t xml:space="preserve"> </w:t>
            </w:r>
            <w:proofErr w:type="spellStart"/>
            <w:proofErr w:type="gramStart"/>
            <w:r w:rsidRPr="000D5720">
              <w:t>доц</w:t>
            </w:r>
            <w:proofErr w:type="gramEnd"/>
            <w:r w:rsidRPr="000D5720">
              <w:t>ільно</w:t>
            </w:r>
            <w:proofErr w:type="spellEnd"/>
            <w:r w:rsidRPr="000D5720">
              <w:t xml:space="preserve"> </w:t>
            </w:r>
            <w:proofErr w:type="spellStart"/>
            <w:r w:rsidRPr="000D5720">
              <w:t>доповнити</w:t>
            </w:r>
            <w:proofErr w:type="spellEnd"/>
            <w:r w:rsidR="0011371A" w:rsidRPr="000D5720">
              <w:rPr>
                <w:lang w:val="uk-UA"/>
              </w:rPr>
              <w:t xml:space="preserve"> </w:t>
            </w:r>
            <w:proofErr w:type="spellStart"/>
            <w:r w:rsidR="0011371A" w:rsidRPr="000D5720">
              <w:t>також</w:t>
            </w:r>
            <w:proofErr w:type="spellEnd"/>
            <w:r w:rsidR="0011371A" w:rsidRPr="000D5720">
              <w:t xml:space="preserve"> такими активами як:</w:t>
            </w:r>
          </w:p>
          <w:p w:rsidR="00713AF2" w:rsidRPr="000D5720" w:rsidRDefault="0011371A" w:rsidP="00713AF2">
            <w:pPr>
              <w:ind w:firstLine="284"/>
              <w:jc w:val="both"/>
            </w:pPr>
            <w:r w:rsidRPr="000D5720">
              <w:rPr>
                <w:lang w:val="uk-UA"/>
              </w:rPr>
              <w:t xml:space="preserve">- </w:t>
            </w:r>
            <w:proofErr w:type="spellStart"/>
            <w:r w:rsidR="00713AF2" w:rsidRPr="000D5720">
              <w:t>нематеріальн</w:t>
            </w:r>
            <w:proofErr w:type="spellEnd"/>
            <w:r w:rsidRPr="000D5720">
              <w:rPr>
                <w:lang w:val="uk-UA"/>
              </w:rPr>
              <w:t>і</w:t>
            </w:r>
            <w:r w:rsidR="00713AF2" w:rsidRPr="000D5720">
              <w:t xml:space="preserve"> актив</w:t>
            </w:r>
            <w:r w:rsidRPr="000D5720">
              <w:rPr>
                <w:lang w:val="uk-UA"/>
              </w:rPr>
              <w:t>и;</w:t>
            </w:r>
          </w:p>
          <w:p w:rsidR="00713AF2" w:rsidRPr="000D5720" w:rsidRDefault="00713AF2" w:rsidP="00713AF2">
            <w:pPr>
              <w:pStyle w:val="rvps2"/>
              <w:shd w:val="clear" w:color="auto" w:fill="FFFFFF"/>
              <w:spacing w:before="0" w:beforeAutospacing="0" w:after="0" w:afterAutospacing="0"/>
              <w:ind w:firstLine="284"/>
              <w:jc w:val="both"/>
              <w:textAlignment w:val="baseline"/>
              <w:rPr>
                <w:lang w:val="uk-UA" w:eastAsia="uk-UA"/>
              </w:rPr>
            </w:pPr>
            <w:r w:rsidRPr="000D5720">
              <w:rPr>
                <w:lang w:val="uk-UA" w:eastAsia="uk-UA"/>
              </w:rPr>
              <w:t>- права користування природними ресурсами;</w:t>
            </w:r>
          </w:p>
          <w:p w:rsidR="00713AF2" w:rsidRPr="000D5720" w:rsidRDefault="00713AF2" w:rsidP="00713AF2">
            <w:pPr>
              <w:pStyle w:val="rvps2"/>
              <w:shd w:val="clear" w:color="auto" w:fill="FFFFFF"/>
              <w:spacing w:before="0" w:beforeAutospacing="0" w:after="0" w:afterAutospacing="0"/>
              <w:ind w:firstLine="284"/>
              <w:jc w:val="both"/>
              <w:textAlignment w:val="baseline"/>
              <w:rPr>
                <w:lang w:val="uk-UA" w:eastAsia="uk-UA"/>
              </w:rPr>
            </w:pPr>
            <w:r w:rsidRPr="000D5720">
              <w:rPr>
                <w:lang w:val="uk-UA" w:eastAsia="uk-UA"/>
              </w:rPr>
              <w:t>- активи, пов'язані з розвідкою та оцінкою та видатки на розвідку або розробку і видобування корисних копалин, нафти, природного газу і подібних невідновлюваних ресурсів (див. МСФО 6 "Розвідка та запасів корисних копалин"). Такі активи відмінні від прав користування земельними ресурсами за своєї природою;</w:t>
            </w:r>
          </w:p>
          <w:p w:rsidR="00713AF2" w:rsidRPr="000D5720" w:rsidRDefault="00713AF2" w:rsidP="00713AF2">
            <w:pPr>
              <w:pStyle w:val="rvps2"/>
              <w:shd w:val="clear" w:color="auto" w:fill="FFFFFF"/>
              <w:spacing w:before="0" w:beforeAutospacing="0" w:after="0" w:afterAutospacing="0"/>
              <w:ind w:firstLine="284"/>
              <w:jc w:val="both"/>
              <w:textAlignment w:val="baseline"/>
              <w:rPr>
                <w:lang w:val="uk-UA" w:eastAsia="uk-UA"/>
              </w:rPr>
            </w:pPr>
            <w:r w:rsidRPr="000D5720">
              <w:rPr>
                <w:lang w:val="uk-UA" w:eastAsia="uk-UA"/>
              </w:rPr>
              <w:t>- відстрочені податкові активи (див. МСБО 12 "Податки на прибуток");</w:t>
            </w:r>
          </w:p>
          <w:p w:rsidR="00713AF2" w:rsidRPr="000D5720" w:rsidRDefault="00713AF2" w:rsidP="00713AF2">
            <w:pPr>
              <w:pStyle w:val="rvps2"/>
              <w:shd w:val="clear" w:color="auto" w:fill="FFFFFF"/>
              <w:spacing w:before="0" w:beforeAutospacing="0" w:after="0" w:afterAutospacing="0"/>
              <w:ind w:firstLine="284"/>
              <w:jc w:val="both"/>
              <w:textAlignment w:val="baseline"/>
              <w:rPr>
                <w:lang w:val="uk-UA" w:eastAsia="uk-UA"/>
              </w:rPr>
            </w:pPr>
            <w:r w:rsidRPr="000D5720">
              <w:rPr>
                <w:lang w:val="uk-UA" w:eastAsia="uk-UA"/>
              </w:rPr>
              <w:t>- право оренди, у т.ч. земельних ділянок, споруд та іншого нерухомого майна (див. МСБО 17 "Оренда");</w:t>
            </w:r>
          </w:p>
          <w:p w:rsidR="00322AFA" w:rsidRPr="000D5720" w:rsidRDefault="00713AF2" w:rsidP="00713AF2">
            <w:pPr>
              <w:pStyle w:val="a3"/>
              <w:spacing w:before="0" w:beforeAutospacing="0" w:after="0" w:afterAutospacing="0"/>
              <w:ind w:firstLine="227"/>
              <w:jc w:val="both"/>
            </w:pPr>
            <w:r w:rsidRPr="000D5720">
              <w:t xml:space="preserve">- нематеріальні активи, що виникають у </w:t>
            </w:r>
            <w:r w:rsidRPr="000D5720">
              <w:lastRenderedPageBreak/>
              <w:t>результаті договірних прав страховика за контрактами страхування (див. МСФЗ 4 "Страхові контракти").</w:t>
            </w:r>
          </w:p>
        </w:tc>
      </w:tr>
      <w:tr w:rsidR="000D5720" w:rsidRPr="000D5720" w:rsidTr="00322AFA">
        <w:tc>
          <w:tcPr>
            <w:tcW w:w="2500" w:type="pct"/>
          </w:tcPr>
          <w:p w:rsidR="00322AFA" w:rsidRPr="000D5720" w:rsidRDefault="00322AFA" w:rsidP="00DC6E67">
            <w:pPr>
              <w:ind w:firstLine="227"/>
              <w:jc w:val="both"/>
            </w:pPr>
            <w:r w:rsidRPr="000D5720">
              <w:rPr>
                <w:lang w:val="uk-UA"/>
              </w:rPr>
              <w:lastRenderedPageBreak/>
              <w:t>5. Ознаки фіктивності, відповідність певній сукупності яких є підставою для прийняття рішення про включення корпоративного інвестиційного фонду до Списку:</w:t>
            </w:r>
            <w:r w:rsidRPr="000D5720">
              <w:t xml:space="preserve"> </w:t>
            </w:r>
          </w:p>
          <w:p w:rsidR="0011371A" w:rsidRPr="000D5720" w:rsidRDefault="0011371A" w:rsidP="00DC6E67">
            <w:pPr>
              <w:ind w:firstLine="227"/>
              <w:jc w:val="both"/>
              <w:rPr>
                <w:lang w:val="uk-UA"/>
              </w:rPr>
            </w:pPr>
          </w:p>
          <w:p w:rsidR="00322AFA" w:rsidRPr="000D5720" w:rsidRDefault="00322AFA" w:rsidP="0011371A">
            <w:pPr>
              <w:ind w:firstLine="227"/>
              <w:jc w:val="both"/>
              <w:rPr>
                <w:lang w:val="uk-UA"/>
              </w:rPr>
            </w:pPr>
            <w:r w:rsidRPr="000D5720">
              <w:rPr>
                <w:lang w:val="uk-UA"/>
              </w:rPr>
              <w:t>3) реєстрація місцезнаходження корпоративного інвестиційного фонду у приміщенні житлового фонду;</w:t>
            </w:r>
          </w:p>
          <w:p w:rsidR="00322AFA" w:rsidRPr="000D5720" w:rsidRDefault="00322AFA" w:rsidP="0011371A">
            <w:pPr>
              <w:ind w:firstLine="227"/>
              <w:jc w:val="both"/>
            </w:pPr>
          </w:p>
        </w:tc>
        <w:tc>
          <w:tcPr>
            <w:tcW w:w="2500" w:type="pct"/>
          </w:tcPr>
          <w:p w:rsidR="00322AFA" w:rsidRPr="000D5720" w:rsidRDefault="0011371A" w:rsidP="0011371A">
            <w:pPr>
              <w:ind w:firstLine="227"/>
              <w:jc w:val="both"/>
              <w:rPr>
                <w:lang w:val="uk-UA"/>
              </w:rPr>
            </w:pPr>
            <w:r w:rsidRPr="000D5720">
              <w:rPr>
                <w:lang w:val="uk-UA"/>
              </w:rPr>
              <w:t>Вважаємо некоректним поширювати дію Положення на венчурні ІСІ, які історично створюються для структурування майнових та договірних відносин.</w:t>
            </w:r>
          </w:p>
          <w:p w:rsidR="0011371A" w:rsidRPr="000D5720" w:rsidRDefault="0011371A" w:rsidP="0011371A">
            <w:pPr>
              <w:ind w:firstLine="227"/>
              <w:jc w:val="both"/>
              <w:rPr>
                <w:lang w:val="uk-UA"/>
              </w:rPr>
            </w:pPr>
          </w:p>
          <w:p w:rsidR="0011371A" w:rsidRPr="000D5720" w:rsidRDefault="0011371A" w:rsidP="0011371A">
            <w:pPr>
              <w:ind w:firstLine="227"/>
              <w:jc w:val="both"/>
              <w:rPr>
                <w:lang w:val="uk-UA"/>
              </w:rPr>
            </w:pPr>
          </w:p>
          <w:p w:rsidR="0011371A" w:rsidRPr="000D5720" w:rsidRDefault="00557111" w:rsidP="00557111">
            <w:pPr>
              <w:ind w:firstLine="227"/>
              <w:jc w:val="both"/>
              <w:rPr>
                <w:lang w:val="uk-UA"/>
              </w:rPr>
            </w:pPr>
            <w:proofErr w:type="spellStart"/>
            <w:r>
              <w:t>Особливості</w:t>
            </w:r>
            <w:proofErr w:type="spellEnd"/>
            <w:r>
              <w:t xml:space="preserve"> </w:t>
            </w:r>
            <w:proofErr w:type="spellStart"/>
            <w:r>
              <w:t>використання</w:t>
            </w:r>
            <w:proofErr w:type="spellEnd"/>
            <w:r>
              <w:t xml:space="preserve"> </w:t>
            </w:r>
            <w:proofErr w:type="spellStart"/>
            <w:r>
              <w:t>власності</w:t>
            </w:r>
            <w:proofErr w:type="spellEnd"/>
            <w:r>
              <w:t xml:space="preserve"> </w:t>
            </w:r>
            <w:proofErr w:type="spellStart"/>
            <w:r>
              <w:t>встановлюється</w:t>
            </w:r>
            <w:proofErr w:type="spellEnd"/>
            <w:r>
              <w:t xml:space="preserve"> </w:t>
            </w:r>
            <w:r w:rsidRPr="000D5720">
              <w:t xml:space="preserve">законами, а не </w:t>
            </w:r>
            <w:proofErr w:type="spellStart"/>
            <w:proofErr w:type="gramStart"/>
            <w:r w:rsidRPr="000D5720">
              <w:t>п</w:t>
            </w:r>
            <w:proofErr w:type="gramEnd"/>
            <w:r w:rsidRPr="000D5720">
              <w:t>ідзаконними</w:t>
            </w:r>
            <w:proofErr w:type="spellEnd"/>
            <w:r w:rsidRPr="000D5720">
              <w:t xml:space="preserve"> </w:t>
            </w:r>
            <w:r>
              <w:t>актами</w:t>
            </w:r>
            <w:r w:rsidRPr="000D5720">
              <w:t>.</w:t>
            </w:r>
            <w:r>
              <w:t xml:space="preserve"> </w:t>
            </w:r>
            <w:proofErr w:type="spellStart"/>
            <w:r w:rsidRPr="000D5720">
              <w:t>Пропонуємо</w:t>
            </w:r>
            <w:proofErr w:type="spellEnd"/>
            <w:r w:rsidRPr="000D5720">
              <w:t xml:space="preserve"> </w:t>
            </w:r>
            <w:proofErr w:type="spellStart"/>
            <w:r w:rsidRPr="000D5720">
              <w:t>прибрати</w:t>
            </w:r>
            <w:proofErr w:type="spellEnd"/>
            <w:r w:rsidRPr="000D5720">
              <w:t xml:space="preserve"> </w:t>
            </w:r>
            <w:proofErr w:type="spellStart"/>
            <w:proofErr w:type="gramStart"/>
            <w:r>
              <w:t>п</w:t>
            </w:r>
            <w:proofErr w:type="gramEnd"/>
            <w:r>
              <w:t>ідп</w:t>
            </w:r>
            <w:proofErr w:type="spellEnd"/>
            <w:r>
              <w:t>.. </w:t>
            </w:r>
            <w:r>
              <w:rPr>
                <w:lang w:val="uk-UA"/>
              </w:rPr>
              <w:t>3</w:t>
            </w:r>
            <w:r>
              <w:t xml:space="preserve"> п. </w:t>
            </w:r>
            <w:r>
              <w:rPr>
                <w:lang w:val="uk-UA"/>
              </w:rPr>
              <w:t>5</w:t>
            </w:r>
            <w:r w:rsidRPr="000D5720">
              <w:t>.</w:t>
            </w:r>
          </w:p>
        </w:tc>
      </w:tr>
      <w:tr w:rsidR="000D5720" w:rsidRPr="000D5720" w:rsidTr="00322AFA">
        <w:tc>
          <w:tcPr>
            <w:tcW w:w="2500" w:type="pct"/>
          </w:tcPr>
          <w:p w:rsidR="00322AFA" w:rsidRPr="000D5720" w:rsidRDefault="00322AFA" w:rsidP="00DC6E67">
            <w:pPr>
              <w:pStyle w:val="a3"/>
              <w:spacing w:before="0" w:beforeAutospacing="0" w:after="0" w:afterAutospacing="0"/>
              <w:ind w:firstLine="227"/>
              <w:jc w:val="both"/>
            </w:pPr>
            <w:r w:rsidRPr="000D5720">
              <w:t xml:space="preserve">5) вартість цінних паперів, обіг яких зупинено (крім цінних паперів, обіг яких зупинено в процесі здійснення корпоративних операцій емітента), та/або щодо яких прийнято рішення про зупинення внесення змін до системи депозитарного обліку, та/або векселів, та/або </w:t>
            </w:r>
            <w:r w:rsidRPr="000D5720">
              <w:rPr>
                <w:rStyle w:val="rvts0"/>
              </w:rPr>
              <w:t>простроченої понад 90 днів дебіторської заборгованості</w:t>
            </w:r>
            <w:r w:rsidRPr="000D5720">
              <w:t>, становить більше ніж 50 відсотків загальної вартості активів корпоративного інвестиційного фонду;</w:t>
            </w:r>
          </w:p>
          <w:p w:rsidR="00322AFA" w:rsidRPr="000D5720" w:rsidRDefault="00322AFA" w:rsidP="000D5720">
            <w:pPr>
              <w:pStyle w:val="a3"/>
              <w:spacing w:before="0" w:beforeAutospacing="0" w:after="0" w:afterAutospacing="0"/>
              <w:jc w:val="both"/>
            </w:pPr>
          </w:p>
        </w:tc>
        <w:tc>
          <w:tcPr>
            <w:tcW w:w="2500" w:type="pct"/>
          </w:tcPr>
          <w:p w:rsidR="00322AFA" w:rsidRPr="000D5720" w:rsidRDefault="00557111" w:rsidP="000D5720">
            <w:pPr>
              <w:pStyle w:val="a3"/>
              <w:spacing w:before="0" w:beforeAutospacing="0" w:after="0" w:afterAutospacing="0"/>
              <w:ind w:firstLine="227"/>
              <w:jc w:val="both"/>
            </w:pPr>
            <w:r>
              <w:t xml:space="preserve">Обмеження обігу об’єктів права власності, в т.ч. векселів, встановлюється законами а не підзаконними актами. </w:t>
            </w:r>
          </w:p>
          <w:p w:rsidR="000D5720" w:rsidRPr="000D5720" w:rsidRDefault="000D5720" w:rsidP="000D5720">
            <w:pPr>
              <w:pStyle w:val="a3"/>
              <w:spacing w:before="0" w:beforeAutospacing="0" w:after="0" w:afterAutospacing="0"/>
              <w:ind w:firstLine="227"/>
              <w:jc w:val="both"/>
            </w:pPr>
            <w:r w:rsidRPr="000D5720">
              <w:t xml:space="preserve">Строк погашення простроченої заборгованості шляхом стягнення застави може тривати значно більше 90 днів. А тому така </w:t>
            </w:r>
            <w:r w:rsidR="00557111">
              <w:t xml:space="preserve">забезпечена </w:t>
            </w:r>
            <w:r w:rsidRPr="000D5720">
              <w:t>прострочена заборгованість не має братись до уваги при вивченні діяльності емітентів в контексті даного положення.</w:t>
            </w:r>
          </w:p>
          <w:p w:rsidR="000D5720" w:rsidRDefault="000D5720" w:rsidP="000D5720">
            <w:pPr>
              <w:pStyle w:val="a3"/>
              <w:spacing w:before="0" w:beforeAutospacing="0" w:after="0" w:afterAutospacing="0"/>
              <w:ind w:firstLine="227"/>
              <w:jc w:val="both"/>
            </w:pPr>
            <w:r w:rsidRPr="000D5720">
              <w:t>Пропонуємо виключити відповідні ознаки з підп. 5 п. 5.</w:t>
            </w:r>
          </w:p>
          <w:p w:rsidR="00557111" w:rsidRPr="000D5720" w:rsidRDefault="00557111" w:rsidP="000D5720">
            <w:pPr>
              <w:pStyle w:val="a3"/>
              <w:spacing w:before="0" w:beforeAutospacing="0" w:after="0" w:afterAutospacing="0"/>
              <w:ind w:firstLine="227"/>
              <w:jc w:val="both"/>
            </w:pPr>
          </w:p>
        </w:tc>
      </w:tr>
    </w:tbl>
    <w:p w:rsidR="00D46993" w:rsidRPr="000D5720" w:rsidRDefault="00D46993" w:rsidP="000D5720">
      <w:pPr>
        <w:jc w:val="center"/>
        <w:rPr>
          <w:lang w:val="uk-UA"/>
        </w:rPr>
      </w:pPr>
    </w:p>
    <w:sectPr w:rsidR="00D46993" w:rsidRPr="000D5720" w:rsidSect="006D05FB">
      <w:footerReference w:type="default" r:id="rId8"/>
      <w:pgSz w:w="11906" w:h="16838"/>
      <w:pgMar w:top="850" w:right="850" w:bottom="85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5A2" w:rsidRDefault="006E25A2">
      <w:r>
        <w:separator/>
      </w:r>
    </w:p>
  </w:endnote>
  <w:endnote w:type="continuationSeparator" w:id="0">
    <w:p w:rsidR="006E25A2" w:rsidRDefault="006E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E6" w:rsidRPr="006D05FB" w:rsidRDefault="005117E6" w:rsidP="006D05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5A2" w:rsidRDefault="006E25A2">
      <w:r>
        <w:separator/>
      </w:r>
    </w:p>
  </w:footnote>
  <w:footnote w:type="continuationSeparator" w:id="0">
    <w:p w:rsidR="006E25A2" w:rsidRDefault="006E2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5"/>
    <w:rsid w:val="00010048"/>
    <w:rsid w:val="00010BDB"/>
    <w:rsid w:val="000220A5"/>
    <w:rsid w:val="00035BED"/>
    <w:rsid w:val="00052D75"/>
    <w:rsid w:val="00054E37"/>
    <w:rsid w:val="00064014"/>
    <w:rsid w:val="00090051"/>
    <w:rsid w:val="000943D7"/>
    <w:rsid w:val="000B06A9"/>
    <w:rsid w:val="000D4A29"/>
    <w:rsid w:val="000D5720"/>
    <w:rsid w:val="0011371A"/>
    <w:rsid w:val="00121A49"/>
    <w:rsid w:val="00141253"/>
    <w:rsid w:val="001416D7"/>
    <w:rsid w:val="00164A35"/>
    <w:rsid w:val="00181F78"/>
    <w:rsid w:val="001920D9"/>
    <w:rsid w:val="001A7EC1"/>
    <w:rsid w:val="001C2B0C"/>
    <w:rsid w:val="001D3984"/>
    <w:rsid w:val="00212894"/>
    <w:rsid w:val="00274CD7"/>
    <w:rsid w:val="002C680D"/>
    <w:rsid w:val="002D7C02"/>
    <w:rsid w:val="002E7877"/>
    <w:rsid w:val="00300A1C"/>
    <w:rsid w:val="00303CD4"/>
    <w:rsid w:val="00317D66"/>
    <w:rsid w:val="00322AFA"/>
    <w:rsid w:val="0035606D"/>
    <w:rsid w:val="00365654"/>
    <w:rsid w:val="003675E3"/>
    <w:rsid w:val="00374328"/>
    <w:rsid w:val="00384090"/>
    <w:rsid w:val="003A5BD7"/>
    <w:rsid w:val="003D064F"/>
    <w:rsid w:val="003E6524"/>
    <w:rsid w:val="003F4DD8"/>
    <w:rsid w:val="0041451C"/>
    <w:rsid w:val="00425217"/>
    <w:rsid w:val="00432A91"/>
    <w:rsid w:val="004366AF"/>
    <w:rsid w:val="00470157"/>
    <w:rsid w:val="00470768"/>
    <w:rsid w:val="0048075C"/>
    <w:rsid w:val="00483A8D"/>
    <w:rsid w:val="00487857"/>
    <w:rsid w:val="004945CE"/>
    <w:rsid w:val="004C32CB"/>
    <w:rsid w:val="004D5440"/>
    <w:rsid w:val="004E2FA4"/>
    <w:rsid w:val="004F5E12"/>
    <w:rsid w:val="005117E6"/>
    <w:rsid w:val="00533D87"/>
    <w:rsid w:val="00535D43"/>
    <w:rsid w:val="00557111"/>
    <w:rsid w:val="00557B64"/>
    <w:rsid w:val="00564C31"/>
    <w:rsid w:val="00577DBB"/>
    <w:rsid w:val="005850AA"/>
    <w:rsid w:val="00595CEC"/>
    <w:rsid w:val="005978C9"/>
    <w:rsid w:val="005C22D7"/>
    <w:rsid w:val="005D78D1"/>
    <w:rsid w:val="00602B11"/>
    <w:rsid w:val="00640C1D"/>
    <w:rsid w:val="00652DAE"/>
    <w:rsid w:val="006A0B5D"/>
    <w:rsid w:val="006C6AC3"/>
    <w:rsid w:val="006D05FB"/>
    <w:rsid w:val="006E25A2"/>
    <w:rsid w:val="006F542C"/>
    <w:rsid w:val="00713AF2"/>
    <w:rsid w:val="00724411"/>
    <w:rsid w:val="00764773"/>
    <w:rsid w:val="00794429"/>
    <w:rsid w:val="00794D25"/>
    <w:rsid w:val="007A3BE4"/>
    <w:rsid w:val="007A50C1"/>
    <w:rsid w:val="007B04BD"/>
    <w:rsid w:val="007C249E"/>
    <w:rsid w:val="007C3B7D"/>
    <w:rsid w:val="008107DF"/>
    <w:rsid w:val="00872506"/>
    <w:rsid w:val="0087273C"/>
    <w:rsid w:val="00893301"/>
    <w:rsid w:val="008A7D30"/>
    <w:rsid w:val="008C1DA8"/>
    <w:rsid w:val="00910B04"/>
    <w:rsid w:val="00913FBE"/>
    <w:rsid w:val="00924027"/>
    <w:rsid w:val="00937119"/>
    <w:rsid w:val="00943105"/>
    <w:rsid w:val="00945820"/>
    <w:rsid w:val="00975C41"/>
    <w:rsid w:val="00981F01"/>
    <w:rsid w:val="00986D63"/>
    <w:rsid w:val="00995892"/>
    <w:rsid w:val="009A4063"/>
    <w:rsid w:val="009B57B2"/>
    <w:rsid w:val="009D32FB"/>
    <w:rsid w:val="009F52DD"/>
    <w:rsid w:val="00A434C6"/>
    <w:rsid w:val="00A4390F"/>
    <w:rsid w:val="00A452A7"/>
    <w:rsid w:val="00A65354"/>
    <w:rsid w:val="00AA0470"/>
    <w:rsid w:val="00AA5FCD"/>
    <w:rsid w:val="00AA6739"/>
    <w:rsid w:val="00AC75AA"/>
    <w:rsid w:val="00AF62E7"/>
    <w:rsid w:val="00B16327"/>
    <w:rsid w:val="00B64A64"/>
    <w:rsid w:val="00B93345"/>
    <w:rsid w:val="00BA5740"/>
    <w:rsid w:val="00BC0602"/>
    <w:rsid w:val="00BD2005"/>
    <w:rsid w:val="00BE1438"/>
    <w:rsid w:val="00C12C05"/>
    <w:rsid w:val="00C14693"/>
    <w:rsid w:val="00C43ACF"/>
    <w:rsid w:val="00C45EF4"/>
    <w:rsid w:val="00C56855"/>
    <w:rsid w:val="00C67F2B"/>
    <w:rsid w:val="00C81B25"/>
    <w:rsid w:val="00CB02C5"/>
    <w:rsid w:val="00CB0786"/>
    <w:rsid w:val="00CD54E4"/>
    <w:rsid w:val="00CE0E45"/>
    <w:rsid w:val="00D161AE"/>
    <w:rsid w:val="00D3297C"/>
    <w:rsid w:val="00D360F0"/>
    <w:rsid w:val="00D46993"/>
    <w:rsid w:val="00D740EC"/>
    <w:rsid w:val="00D81532"/>
    <w:rsid w:val="00DE297A"/>
    <w:rsid w:val="00E00480"/>
    <w:rsid w:val="00E24AD0"/>
    <w:rsid w:val="00E326A7"/>
    <w:rsid w:val="00E5692D"/>
    <w:rsid w:val="00E62AE9"/>
    <w:rsid w:val="00E648CD"/>
    <w:rsid w:val="00EA22F3"/>
    <w:rsid w:val="00EB2C55"/>
    <w:rsid w:val="00F1716D"/>
    <w:rsid w:val="00F176CC"/>
    <w:rsid w:val="00F21729"/>
    <w:rsid w:val="00F92405"/>
    <w:rsid w:val="00F94865"/>
    <w:rsid w:val="00FA5979"/>
    <w:rsid w:val="00FE2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4A35"/>
    <w:rPr>
      <w:sz w:val="24"/>
      <w:szCs w:val="24"/>
    </w:rPr>
  </w:style>
  <w:style w:type="paragraph" w:styleId="1">
    <w:name w:val="heading 1"/>
    <w:basedOn w:val="a"/>
    <w:next w:val="a"/>
    <w:qFormat/>
    <w:rsid w:val="00BE1438"/>
    <w:pPr>
      <w:keepNext/>
      <w:spacing w:before="240" w:after="60"/>
      <w:outlineLvl w:val="0"/>
    </w:pPr>
    <w:rPr>
      <w:rFonts w:ascii="Arial" w:hAnsi="Arial" w:cs="Arial"/>
      <w:b/>
      <w:bCs/>
      <w:kern w:val="32"/>
      <w:sz w:val="32"/>
      <w:szCs w:val="32"/>
    </w:rPr>
  </w:style>
  <w:style w:type="paragraph" w:styleId="2">
    <w:name w:val="heading 2"/>
    <w:basedOn w:val="a"/>
    <w:qFormat/>
    <w:rsid w:val="00164A35"/>
    <w:pPr>
      <w:spacing w:before="100" w:beforeAutospacing="1" w:after="100" w:afterAutospacing="1"/>
      <w:outlineLvl w:val="1"/>
    </w:pPr>
    <w:rPr>
      <w:b/>
      <w:bCs/>
      <w:sz w:val="36"/>
      <w:szCs w:val="36"/>
      <w:lang w:val="uk-UA" w:eastAsia="uk-UA"/>
    </w:rPr>
  </w:style>
  <w:style w:type="paragraph" w:styleId="3">
    <w:name w:val="heading 3"/>
    <w:basedOn w:val="a"/>
    <w:next w:val="a"/>
    <w:qFormat/>
    <w:rsid w:val="00164A35"/>
    <w:pPr>
      <w:keepNext/>
      <w:spacing w:before="240" w:after="60"/>
      <w:outlineLvl w:val="2"/>
    </w:pPr>
    <w:rPr>
      <w:rFonts w:ascii="Arial" w:hAnsi="Arial" w:cs="Arial"/>
      <w:b/>
      <w:bCs/>
      <w:sz w:val="26"/>
      <w:szCs w:val="26"/>
    </w:rPr>
  </w:style>
  <w:style w:type="paragraph" w:styleId="5">
    <w:name w:val="heading 5"/>
    <w:basedOn w:val="a"/>
    <w:next w:val="a"/>
    <w:qFormat/>
    <w:rsid w:val="00BE143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64A35"/>
    <w:pPr>
      <w:spacing w:before="100" w:beforeAutospacing="1" w:after="100" w:afterAutospacing="1"/>
    </w:pPr>
    <w:rPr>
      <w:lang w:val="uk-UA" w:eastAsia="uk-UA"/>
    </w:rPr>
  </w:style>
  <w:style w:type="paragraph" w:styleId="20">
    <w:name w:val="Body Text Indent 2"/>
    <w:basedOn w:val="a"/>
    <w:rsid w:val="00164A35"/>
    <w:pPr>
      <w:ind w:firstLine="720"/>
      <w:jc w:val="both"/>
    </w:pPr>
    <w:rPr>
      <w:sz w:val="28"/>
      <w:szCs w:val="20"/>
      <w:lang w:val="uk-UA"/>
    </w:rPr>
  </w:style>
  <w:style w:type="paragraph" w:customStyle="1" w:styleId="10">
    <w:name w:val="Обычный1"/>
    <w:rsid w:val="008C1DA8"/>
    <w:rPr>
      <w:sz w:val="24"/>
    </w:rPr>
  </w:style>
  <w:style w:type="paragraph" w:styleId="a4">
    <w:name w:val="header"/>
    <w:basedOn w:val="a"/>
    <w:rsid w:val="00CB02C5"/>
    <w:pPr>
      <w:tabs>
        <w:tab w:val="center" w:pos="4819"/>
        <w:tab w:val="right" w:pos="9639"/>
      </w:tabs>
    </w:pPr>
  </w:style>
  <w:style w:type="character" w:styleId="a5">
    <w:name w:val="page number"/>
    <w:basedOn w:val="a0"/>
    <w:rsid w:val="00CB02C5"/>
  </w:style>
  <w:style w:type="paragraph" w:styleId="a6">
    <w:name w:val="footer"/>
    <w:basedOn w:val="a"/>
    <w:rsid w:val="00CB02C5"/>
    <w:pPr>
      <w:tabs>
        <w:tab w:val="center" w:pos="4819"/>
        <w:tab w:val="right" w:pos="9639"/>
      </w:tabs>
    </w:pPr>
  </w:style>
  <w:style w:type="paragraph" w:customStyle="1" w:styleId="rvps6">
    <w:name w:val="rvps6"/>
    <w:basedOn w:val="a"/>
    <w:rsid w:val="005D78D1"/>
    <w:pPr>
      <w:spacing w:before="100" w:beforeAutospacing="1" w:after="100" w:afterAutospacing="1"/>
    </w:pPr>
    <w:rPr>
      <w:lang w:val="uk-UA" w:eastAsia="uk-UA"/>
    </w:rPr>
  </w:style>
  <w:style w:type="paragraph" w:customStyle="1" w:styleId="Default">
    <w:name w:val="Default"/>
    <w:rsid w:val="005D78D1"/>
    <w:pPr>
      <w:autoSpaceDE w:val="0"/>
      <w:autoSpaceDN w:val="0"/>
      <w:adjustRightInd w:val="0"/>
    </w:pPr>
    <w:rPr>
      <w:color w:val="000000"/>
      <w:sz w:val="24"/>
      <w:szCs w:val="24"/>
      <w:lang w:val="uk-UA" w:eastAsia="uk-UA"/>
    </w:rPr>
  </w:style>
  <w:style w:type="paragraph" w:customStyle="1" w:styleId="xfmc1">
    <w:name w:val="xfmc1"/>
    <w:basedOn w:val="a"/>
    <w:rsid w:val="00577DBB"/>
    <w:pPr>
      <w:spacing w:before="100" w:beforeAutospacing="1" w:after="100" w:afterAutospacing="1"/>
    </w:pPr>
  </w:style>
  <w:style w:type="paragraph" w:styleId="HTML">
    <w:name w:val="HTML Preformatted"/>
    <w:basedOn w:val="a"/>
    <w:link w:val="HTML0"/>
    <w:unhideWhenUsed/>
    <w:rsid w:val="00577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577DBB"/>
    <w:rPr>
      <w:rFonts w:ascii="Courier New" w:hAnsi="Courier New" w:cs="Courier New"/>
      <w:lang w:val="ru-RU" w:eastAsia="ru-RU" w:bidi="ar-SA"/>
    </w:rPr>
  </w:style>
  <w:style w:type="character" w:customStyle="1" w:styleId="spelle">
    <w:name w:val="spelle"/>
    <w:basedOn w:val="a0"/>
    <w:rsid w:val="00577DBB"/>
  </w:style>
  <w:style w:type="character" w:styleId="a7">
    <w:name w:val="Hyperlink"/>
    <w:rsid w:val="00577DBB"/>
    <w:rPr>
      <w:color w:val="0000FF"/>
      <w:u w:val="single"/>
    </w:rPr>
  </w:style>
  <w:style w:type="character" w:customStyle="1" w:styleId="rvts0">
    <w:name w:val="rvts0"/>
    <w:basedOn w:val="a0"/>
    <w:rsid w:val="00577DBB"/>
  </w:style>
  <w:style w:type="character" w:customStyle="1" w:styleId="rvts23">
    <w:name w:val="rvts23"/>
    <w:basedOn w:val="a0"/>
    <w:rsid w:val="0087273C"/>
  </w:style>
  <w:style w:type="paragraph" w:styleId="a8">
    <w:name w:val="Title"/>
    <w:basedOn w:val="a"/>
    <w:link w:val="a9"/>
    <w:qFormat/>
    <w:rsid w:val="00652DAE"/>
    <w:pPr>
      <w:jc w:val="center"/>
    </w:pPr>
    <w:rPr>
      <w:sz w:val="28"/>
      <w:szCs w:val="28"/>
      <w:lang w:val="uk-UA"/>
    </w:rPr>
  </w:style>
  <w:style w:type="character" w:customStyle="1" w:styleId="a9">
    <w:name w:val="Название Знак"/>
    <w:link w:val="a8"/>
    <w:rsid w:val="00652DAE"/>
    <w:rPr>
      <w:sz w:val="28"/>
      <w:szCs w:val="28"/>
      <w:lang w:val="uk-UA"/>
    </w:rPr>
  </w:style>
  <w:style w:type="table" w:styleId="aa">
    <w:name w:val="Table Grid"/>
    <w:basedOn w:val="a1"/>
    <w:rsid w:val="00713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713AF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4A35"/>
    <w:rPr>
      <w:sz w:val="24"/>
      <w:szCs w:val="24"/>
    </w:rPr>
  </w:style>
  <w:style w:type="paragraph" w:styleId="1">
    <w:name w:val="heading 1"/>
    <w:basedOn w:val="a"/>
    <w:next w:val="a"/>
    <w:qFormat/>
    <w:rsid w:val="00BE1438"/>
    <w:pPr>
      <w:keepNext/>
      <w:spacing w:before="240" w:after="60"/>
      <w:outlineLvl w:val="0"/>
    </w:pPr>
    <w:rPr>
      <w:rFonts w:ascii="Arial" w:hAnsi="Arial" w:cs="Arial"/>
      <w:b/>
      <w:bCs/>
      <w:kern w:val="32"/>
      <w:sz w:val="32"/>
      <w:szCs w:val="32"/>
    </w:rPr>
  </w:style>
  <w:style w:type="paragraph" w:styleId="2">
    <w:name w:val="heading 2"/>
    <w:basedOn w:val="a"/>
    <w:qFormat/>
    <w:rsid w:val="00164A35"/>
    <w:pPr>
      <w:spacing w:before="100" w:beforeAutospacing="1" w:after="100" w:afterAutospacing="1"/>
      <w:outlineLvl w:val="1"/>
    </w:pPr>
    <w:rPr>
      <w:b/>
      <w:bCs/>
      <w:sz w:val="36"/>
      <w:szCs w:val="36"/>
      <w:lang w:val="uk-UA" w:eastAsia="uk-UA"/>
    </w:rPr>
  </w:style>
  <w:style w:type="paragraph" w:styleId="3">
    <w:name w:val="heading 3"/>
    <w:basedOn w:val="a"/>
    <w:next w:val="a"/>
    <w:qFormat/>
    <w:rsid w:val="00164A35"/>
    <w:pPr>
      <w:keepNext/>
      <w:spacing w:before="240" w:after="60"/>
      <w:outlineLvl w:val="2"/>
    </w:pPr>
    <w:rPr>
      <w:rFonts w:ascii="Arial" w:hAnsi="Arial" w:cs="Arial"/>
      <w:b/>
      <w:bCs/>
      <w:sz w:val="26"/>
      <w:szCs w:val="26"/>
    </w:rPr>
  </w:style>
  <w:style w:type="paragraph" w:styleId="5">
    <w:name w:val="heading 5"/>
    <w:basedOn w:val="a"/>
    <w:next w:val="a"/>
    <w:qFormat/>
    <w:rsid w:val="00BE143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64A35"/>
    <w:pPr>
      <w:spacing w:before="100" w:beforeAutospacing="1" w:after="100" w:afterAutospacing="1"/>
    </w:pPr>
    <w:rPr>
      <w:lang w:val="uk-UA" w:eastAsia="uk-UA"/>
    </w:rPr>
  </w:style>
  <w:style w:type="paragraph" w:styleId="20">
    <w:name w:val="Body Text Indent 2"/>
    <w:basedOn w:val="a"/>
    <w:rsid w:val="00164A35"/>
    <w:pPr>
      <w:ind w:firstLine="720"/>
      <w:jc w:val="both"/>
    </w:pPr>
    <w:rPr>
      <w:sz w:val="28"/>
      <w:szCs w:val="20"/>
      <w:lang w:val="uk-UA"/>
    </w:rPr>
  </w:style>
  <w:style w:type="paragraph" w:customStyle="1" w:styleId="10">
    <w:name w:val="Обычный1"/>
    <w:rsid w:val="008C1DA8"/>
    <w:rPr>
      <w:sz w:val="24"/>
    </w:rPr>
  </w:style>
  <w:style w:type="paragraph" w:styleId="a4">
    <w:name w:val="header"/>
    <w:basedOn w:val="a"/>
    <w:rsid w:val="00CB02C5"/>
    <w:pPr>
      <w:tabs>
        <w:tab w:val="center" w:pos="4819"/>
        <w:tab w:val="right" w:pos="9639"/>
      </w:tabs>
    </w:pPr>
  </w:style>
  <w:style w:type="character" w:styleId="a5">
    <w:name w:val="page number"/>
    <w:basedOn w:val="a0"/>
    <w:rsid w:val="00CB02C5"/>
  </w:style>
  <w:style w:type="paragraph" w:styleId="a6">
    <w:name w:val="footer"/>
    <w:basedOn w:val="a"/>
    <w:rsid w:val="00CB02C5"/>
    <w:pPr>
      <w:tabs>
        <w:tab w:val="center" w:pos="4819"/>
        <w:tab w:val="right" w:pos="9639"/>
      </w:tabs>
    </w:pPr>
  </w:style>
  <w:style w:type="paragraph" w:customStyle="1" w:styleId="rvps6">
    <w:name w:val="rvps6"/>
    <w:basedOn w:val="a"/>
    <w:rsid w:val="005D78D1"/>
    <w:pPr>
      <w:spacing w:before="100" w:beforeAutospacing="1" w:after="100" w:afterAutospacing="1"/>
    </w:pPr>
    <w:rPr>
      <w:lang w:val="uk-UA" w:eastAsia="uk-UA"/>
    </w:rPr>
  </w:style>
  <w:style w:type="paragraph" w:customStyle="1" w:styleId="Default">
    <w:name w:val="Default"/>
    <w:rsid w:val="005D78D1"/>
    <w:pPr>
      <w:autoSpaceDE w:val="0"/>
      <w:autoSpaceDN w:val="0"/>
      <w:adjustRightInd w:val="0"/>
    </w:pPr>
    <w:rPr>
      <w:color w:val="000000"/>
      <w:sz w:val="24"/>
      <w:szCs w:val="24"/>
      <w:lang w:val="uk-UA" w:eastAsia="uk-UA"/>
    </w:rPr>
  </w:style>
  <w:style w:type="paragraph" w:customStyle="1" w:styleId="xfmc1">
    <w:name w:val="xfmc1"/>
    <w:basedOn w:val="a"/>
    <w:rsid w:val="00577DBB"/>
    <w:pPr>
      <w:spacing w:before="100" w:beforeAutospacing="1" w:after="100" w:afterAutospacing="1"/>
    </w:pPr>
  </w:style>
  <w:style w:type="paragraph" w:styleId="HTML">
    <w:name w:val="HTML Preformatted"/>
    <w:basedOn w:val="a"/>
    <w:link w:val="HTML0"/>
    <w:unhideWhenUsed/>
    <w:rsid w:val="00577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577DBB"/>
    <w:rPr>
      <w:rFonts w:ascii="Courier New" w:hAnsi="Courier New" w:cs="Courier New"/>
      <w:lang w:val="ru-RU" w:eastAsia="ru-RU" w:bidi="ar-SA"/>
    </w:rPr>
  </w:style>
  <w:style w:type="character" w:customStyle="1" w:styleId="spelle">
    <w:name w:val="spelle"/>
    <w:basedOn w:val="a0"/>
    <w:rsid w:val="00577DBB"/>
  </w:style>
  <w:style w:type="character" w:styleId="a7">
    <w:name w:val="Hyperlink"/>
    <w:rsid w:val="00577DBB"/>
    <w:rPr>
      <w:color w:val="0000FF"/>
      <w:u w:val="single"/>
    </w:rPr>
  </w:style>
  <w:style w:type="character" w:customStyle="1" w:styleId="rvts0">
    <w:name w:val="rvts0"/>
    <w:basedOn w:val="a0"/>
    <w:rsid w:val="00577DBB"/>
  </w:style>
  <w:style w:type="character" w:customStyle="1" w:styleId="rvts23">
    <w:name w:val="rvts23"/>
    <w:basedOn w:val="a0"/>
    <w:rsid w:val="0087273C"/>
  </w:style>
  <w:style w:type="paragraph" w:styleId="a8">
    <w:name w:val="Title"/>
    <w:basedOn w:val="a"/>
    <w:link w:val="a9"/>
    <w:qFormat/>
    <w:rsid w:val="00652DAE"/>
    <w:pPr>
      <w:jc w:val="center"/>
    </w:pPr>
    <w:rPr>
      <w:sz w:val="28"/>
      <w:szCs w:val="28"/>
      <w:lang w:val="uk-UA"/>
    </w:rPr>
  </w:style>
  <w:style w:type="character" w:customStyle="1" w:styleId="a9">
    <w:name w:val="Название Знак"/>
    <w:link w:val="a8"/>
    <w:rsid w:val="00652DAE"/>
    <w:rPr>
      <w:sz w:val="28"/>
      <w:szCs w:val="28"/>
      <w:lang w:val="uk-UA"/>
    </w:rPr>
  </w:style>
  <w:style w:type="table" w:styleId="aa">
    <w:name w:val="Table Grid"/>
    <w:basedOn w:val="a1"/>
    <w:rsid w:val="00713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713A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ssmc.gov.ua/law/2038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4636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SSMSC</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dorozhko</dc:creator>
  <cp:lastModifiedBy>Гуржий Наталья Анатольевна</cp:lastModifiedBy>
  <cp:revision>2</cp:revision>
  <cp:lastPrinted>2017-05-03T13:09:00Z</cp:lastPrinted>
  <dcterms:created xsi:type="dcterms:W3CDTF">2017-05-30T11:12:00Z</dcterms:created>
  <dcterms:modified xsi:type="dcterms:W3CDTF">2017-05-30T11:12:00Z</dcterms:modified>
</cp:coreProperties>
</file>